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لإعطاء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الأسبقية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وتقديم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المواعيد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للأشخاص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ذوي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الاحتياجات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يعتنون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للاستفادة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التلقيح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المضاد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لفيروس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كوفيد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-19</w:t>
      </w:r>
    </w:p>
    <w:p w:rsidR="00000000" w:rsidDel="00000000" w:rsidP="00000000" w:rsidRDefault="00000000" w:rsidRPr="00000000" w14:paraId="00000002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نماذج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لغوية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للأدوات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والتراسل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الافتراضيين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الأمثلة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الافتراضية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استحقاق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العثور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محلي</w:t>
      </w:r>
      <w:r w:rsidDel="00000000" w:rsidR="00000000" w:rsidRPr="00000000">
        <w:rPr>
          <w:sz w:val="28"/>
          <w:szCs w:val="28"/>
          <w:rtl w:val="1"/>
        </w:rPr>
        <w:t xml:space="preserve">ًّ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الولاية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الافتراضية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الاتصال</w:t>
      </w:r>
      <w:r w:rsidDel="00000000" w:rsidR="00000000" w:rsidRPr="00000000">
        <w:rPr>
          <w:sz w:val="28"/>
          <w:szCs w:val="28"/>
          <w:rtl w:val="1"/>
        </w:rPr>
        <w:t xml:space="preserve">):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صعوبة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color w:val="ff9900"/>
          <w:sz w:val="28"/>
          <w:szCs w:val="28"/>
          <w:rtl w:val="0"/>
        </w:rPr>
        <w:t xml:space="preserve">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تحتاجون</w:t>
      </w:r>
      <w:r w:rsidDel="00000000" w:rsidR="00000000" w:rsidRPr="00000000">
        <w:rPr>
          <w:sz w:val="28"/>
          <w:szCs w:val="28"/>
          <w:rtl w:val="1"/>
        </w:rPr>
        <w:t xml:space="preserve">: [</w:t>
      </w:r>
      <w:r w:rsidDel="00000000" w:rsidR="00000000" w:rsidRPr="00000000">
        <w:rPr>
          <w:sz w:val="28"/>
          <w:szCs w:val="28"/>
          <w:rtl w:val="1"/>
        </w:rPr>
        <w:t xml:space="preserve">ضعوا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</w:t>
      </w:r>
      <w:r w:rsidDel="00000000" w:rsidR="00000000" w:rsidRPr="00000000">
        <w:rPr>
          <w:sz w:val="28"/>
          <w:szCs w:val="28"/>
          <w:rtl w:val="1"/>
        </w:rPr>
        <w:t xml:space="preserve">]... </w:t>
      </w: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هذه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المساعدات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مجانية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-19؟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color w:val="ff9900"/>
          <w:rtl w:val="0"/>
        </w:rPr>
        <w:t xml:space="preserve">■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-19؟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ترجمة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الإشارة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بأحجام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بالصوت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العثور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هادئة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.*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'</w:t>
      </w: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مختص</w:t>
      </w:r>
      <w:r w:rsidDel="00000000" w:rsidR="00000000" w:rsidRPr="00000000">
        <w:rPr>
          <w:sz w:val="28"/>
          <w:szCs w:val="28"/>
          <w:rtl w:val="1"/>
        </w:rPr>
        <w:t xml:space="preserve">.**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هل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تقدمون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خدمات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رعاية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مدفوعة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الأجر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مجانية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لشخص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بالغ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كبير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ذوي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الاحتياجات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منزله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 </w:t>
      </w:r>
      <w:r w:rsidDel="00000000" w:rsidR="00000000" w:rsidRPr="00000000">
        <w:rPr>
          <w:sz w:val="28"/>
          <w:szCs w:val="28"/>
          <w:rtl w:val="1"/>
        </w:rPr>
        <w:t xml:space="preserve">لنفسكم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ترعونه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E">
      <w:pPr>
        <w:bidi w:val="1"/>
        <w:ind w:left="450" w:firstLine="0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'</w:t>
      </w: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مختص</w:t>
      </w:r>
      <w:r w:rsidDel="00000000" w:rsidR="00000000" w:rsidRPr="00000000">
        <w:rPr>
          <w:sz w:val="28"/>
          <w:szCs w:val="28"/>
          <w:rtl w:val="1"/>
        </w:rPr>
        <w:t xml:space="preserve">.**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**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المجيبون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منازلهم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اعتبارات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تسهيل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الوصول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مركز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التلقيح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b w:val="1"/>
          <w:sz w:val="32"/>
          <w:szCs w:val="32"/>
          <w:rtl w:val="1"/>
        </w:rPr>
        <w:t xml:space="preserve">وحجز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المواعيد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مقدمي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يتقيدوا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قانون</w:t>
        </w:r>
      </w:hyperlink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الأمريكيين</w:t>
        </w:r>
      </w:hyperlink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ذوي</w:t>
        </w:r>
      </w:hyperlink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(</w:t>
        </w:r>
      </w:hyperlink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ADA</w:t>
        </w:r>
      </w:hyperlink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وقت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حجز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موعدكم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مثال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مغادرتها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color w:val="ff9900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معقدة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معقدة</w:t>
      </w:r>
      <w:r w:rsidDel="00000000" w:rsidR="00000000" w:rsidRPr="00000000">
        <w:rPr>
          <w:sz w:val="28"/>
          <w:szCs w:val="28"/>
          <w:rtl w:val="1"/>
        </w:rPr>
        <w:t xml:space="preserve">؟) </w:t>
      </w:r>
      <w:r w:rsidDel="00000000" w:rsidR="00000000" w:rsidRPr="00000000">
        <w:rPr>
          <w:sz w:val="28"/>
          <w:szCs w:val="28"/>
          <w:rtl w:val="1"/>
        </w:rPr>
        <w:t xml:space="preserve">للمزيد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يمكنكم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تلقيح</w:t>
        </w:r>
      </w:hyperlink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الأشخاص</w:t>
        </w:r>
      </w:hyperlink>
      <w:hyperlink r:id="rId2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الم</w:t>
        </w:r>
      </w:hyperlink>
      <w:hyperlink r:id="rId2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ُ</w:t>
        </w:r>
      </w:hyperlink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سن</w:t>
        </w:r>
      </w:hyperlink>
      <w:hyperlink r:id="rId2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ّ</w:t>
        </w:r>
      </w:hyperlink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ين</w:t>
        </w:r>
      </w:hyperlink>
      <w:hyperlink r:id="rId2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وذوي</w:t>
        </w:r>
      </w:hyperlink>
      <w:hyperlink r:id="rId2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الاحتياجات</w:t>
        </w:r>
      </w:hyperlink>
      <w:hyperlink r:id="rId3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الخاصة</w:t>
        </w:r>
      </w:hyperlink>
      <w:hyperlink r:id="rId3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في</w:t>
        </w:r>
      </w:hyperlink>
      <w:hyperlink r:id="rId35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6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مراكز</w:t>
        </w:r>
      </w:hyperlink>
      <w:hyperlink r:id="rId37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8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التلقيح</w:t>
        </w:r>
      </w:hyperlink>
      <w:hyperlink r:id="rId39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│ </w:t>
        </w:r>
      </w:hyperlink>
      <w:hyperlink r:id="rId40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مركز</w:t>
        </w:r>
      </w:hyperlink>
      <w:hyperlink r:id="rId41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2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مراقبة</w:t>
        </w:r>
      </w:hyperlink>
      <w:hyperlink r:id="rId43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44">
        <w:r w:rsidDel="00000000" w:rsidR="00000000" w:rsidRPr="00000000">
          <w:rPr>
            <w:color w:val="1155cc"/>
            <w:sz w:val="28"/>
            <w:szCs w:val="28"/>
            <w:u w:val="single"/>
            <w:rtl w:val="1"/>
          </w:rPr>
          <w:t xml:space="preserve">الأمراض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موارد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للمزيد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التحقق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وضعية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الإعاقة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مثل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المعطيات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):</w:t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استبيان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واشنطن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hyperlink r:id="rId4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 Washington Group Short Set on Functioning (WG-SS)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استبيان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الأمريكي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المعطيات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hyperlink r:id="rId4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American Community Survey: How Disability Data are Collected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المعطيات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المعطيات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والانتماء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hyperlink r:id="rId4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HHS Data Standards Implementation Guide: Data collection standards for race, ethnicity, sex, primary language, and disability status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كوفيد</w:t>
      </w:r>
      <w:r w:rsidDel="00000000" w:rsidR="00000000" w:rsidRPr="00000000">
        <w:rPr>
          <w:sz w:val="28"/>
          <w:szCs w:val="28"/>
          <w:rtl w:val="1"/>
        </w:rPr>
        <w:t xml:space="preserve">-19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jc w:val="right"/>
        <w:rPr/>
      </w:pPr>
      <w:hyperlink r:id="rId4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www.cdc.gov/coronavirus/vaccines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dc.gov/vaccines/covid-19/clinical-considerations/older-adults-and-disability.html" TargetMode="External"/><Relationship Id="rId20" Type="http://schemas.openxmlformats.org/officeDocument/2006/relationships/hyperlink" Target="https://www.cdc.gov/vaccines/covid-19/clinical-considerations/older-adults-and-disability.html" TargetMode="External"/><Relationship Id="rId42" Type="http://schemas.openxmlformats.org/officeDocument/2006/relationships/hyperlink" Target="https://www.cdc.gov/vaccines/covid-19/clinical-considerations/older-adults-and-disability.html" TargetMode="External"/><Relationship Id="rId41" Type="http://schemas.openxmlformats.org/officeDocument/2006/relationships/hyperlink" Target="https://www.cdc.gov/vaccines/covid-19/clinical-considerations/older-adults-and-disability.html" TargetMode="External"/><Relationship Id="rId22" Type="http://schemas.openxmlformats.org/officeDocument/2006/relationships/hyperlink" Target="https://www.cdc.gov/vaccines/covid-19/clinical-considerations/older-adults-and-disability.html" TargetMode="External"/><Relationship Id="rId44" Type="http://schemas.openxmlformats.org/officeDocument/2006/relationships/hyperlink" Target="https://www.cdc.gov/vaccines/covid-19/clinical-considerations/older-adults-and-disability.html" TargetMode="External"/><Relationship Id="rId21" Type="http://schemas.openxmlformats.org/officeDocument/2006/relationships/hyperlink" Target="https://www.cdc.gov/vaccines/covid-19/clinical-considerations/older-adults-and-disability.html" TargetMode="External"/><Relationship Id="rId43" Type="http://schemas.openxmlformats.org/officeDocument/2006/relationships/hyperlink" Target="https://www.cdc.gov/vaccines/covid-19/clinical-considerations/older-adults-and-disability.html" TargetMode="External"/><Relationship Id="rId24" Type="http://schemas.openxmlformats.org/officeDocument/2006/relationships/hyperlink" Target="https://www.cdc.gov/vaccines/covid-19/clinical-considerations/older-adults-and-disability.html" TargetMode="External"/><Relationship Id="rId46" Type="http://schemas.openxmlformats.org/officeDocument/2006/relationships/hyperlink" Target="https://www.census.gov/topics/health/disability/guidance/data-collection-acs.html" TargetMode="External"/><Relationship Id="rId23" Type="http://schemas.openxmlformats.org/officeDocument/2006/relationships/hyperlink" Target="https://www.cdc.gov/vaccines/covid-19/clinical-considerations/older-adults-and-disability.html" TargetMode="External"/><Relationship Id="rId45" Type="http://schemas.openxmlformats.org/officeDocument/2006/relationships/hyperlink" Target="https://www.washingtongroup-disability.com/fileadmin/uploads/wg/Documents/Questions/Washington_Group_Questionnaire__1_-_WG_Short_Set_on_Functioning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da.gov" TargetMode="External"/><Relationship Id="rId26" Type="http://schemas.openxmlformats.org/officeDocument/2006/relationships/hyperlink" Target="https://www.cdc.gov/vaccines/covid-19/clinical-considerations/older-adults-and-disability.html" TargetMode="External"/><Relationship Id="rId48" Type="http://schemas.openxmlformats.org/officeDocument/2006/relationships/hyperlink" Target="http://www.cdc.gov/coronavirus/vaccines" TargetMode="External"/><Relationship Id="rId25" Type="http://schemas.openxmlformats.org/officeDocument/2006/relationships/hyperlink" Target="https://www.cdc.gov/vaccines/covid-19/clinical-considerations/older-adults-and-disability.html" TargetMode="External"/><Relationship Id="rId47" Type="http://schemas.openxmlformats.org/officeDocument/2006/relationships/hyperlink" Target="https://www.census.gov/topics/health/disability/guidance/data-collection-acs.html" TargetMode="External"/><Relationship Id="rId28" Type="http://schemas.openxmlformats.org/officeDocument/2006/relationships/hyperlink" Target="https://www.cdc.gov/vaccines/covid-19/clinical-considerations/older-adults-and-disability.html" TargetMode="External"/><Relationship Id="rId27" Type="http://schemas.openxmlformats.org/officeDocument/2006/relationships/hyperlink" Target="https://www.cdc.gov/vaccines/covid-19/clinical-considerations/older-adults-and-disability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da.gov" TargetMode="External"/><Relationship Id="rId29" Type="http://schemas.openxmlformats.org/officeDocument/2006/relationships/hyperlink" Target="https://www.cdc.gov/vaccines/covid-19/clinical-considerations/older-adults-and-disability.html" TargetMode="External"/><Relationship Id="rId7" Type="http://schemas.openxmlformats.org/officeDocument/2006/relationships/hyperlink" Target="https://www.ada.gov" TargetMode="External"/><Relationship Id="rId8" Type="http://schemas.openxmlformats.org/officeDocument/2006/relationships/hyperlink" Target="https://www.ada.gov" TargetMode="External"/><Relationship Id="rId31" Type="http://schemas.openxmlformats.org/officeDocument/2006/relationships/hyperlink" Target="https://www.cdc.gov/vaccines/covid-19/clinical-considerations/older-adults-and-disability.html" TargetMode="External"/><Relationship Id="rId30" Type="http://schemas.openxmlformats.org/officeDocument/2006/relationships/hyperlink" Target="https://www.cdc.gov/vaccines/covid-19/clinical-considerations/older-adults-and-disability.html" TargetMode="External"/><Relationship Id="rId11" Type="http://schemas.openxmlformats.org/officeDocument/2006/relationships/hyperlink" Target="https://www.ada.gov" TargetMode="External"/><Relationship Id="rId33" Type="http://schemas.openxmlformats.org/officeDocument/2006/relationships/hyperlink" Target="https://www.cdc.gov/vaccines/covid-19/clinical-considerations/older-adults-and-disability.html" TargetMode="External"/><Relationship Id="rId10" Type="http://schemas.openxmlformats.org/officeDocument/2006/relationships/hyperlink" Target="https://www.ada.gov" TargetMode="External"/><Relationship Id="rId32" Type="http://schemas.openxmlformats.org/officeDocument/2006/relationships/hyperlink" Target="https://www.cdc.gov/vaccines/covid-19/clinical-considerations/older-adults-and-disability.html" TargetMode="External"/><Relationship Id="rId13" Type="http://schemas.openxmlformats.org/officeDocument/2006/relationships/hyperlink" Target="https://www.ada.gov" TargetMode="External"/><Relationship Id="rId35" Type="http://schemas.openxmlformats.org/officeDocument/2006/relationships/hyperlink" Target="https://www.cdc.gov/vaccines/covid-19/clinical-considerations/older-adults-and-disability.html" TargetMode="External"/><Relationship Id="rId12" Type="http://schemas.openxmlformats.org/officeDocument/2006/relationships/hyperlink" Target="https://www.ada.gov" TargetMode="External"/><Relationship Id="rId34" Type="http://schemas.openxmlformats.org/officeDocument/2006/relationships/hyperlink" Target="https://www.cdc.gov/vaccines/covid-19/clinical-considerations/older-adults-and-disability.html" TargetMode="External"/><Relationship Id="rId15" Type="http://schemas.openxmlformats.org/officeDocument/2006/relationships/hyperlink" Target="https://www.ada.gov" TargetMode="External"/><Relationship Id="rId37" Type="http://schemas.openxmlformats.org/officeDocument/2006/relationships/hyperlink" Target="https://www.cdc.gov/vaccines/covid-19/clinical-considerations/older-adults-and-disability.html" TargetMode="External"/><Relationship Id="rId14" Type="http://schemas.openxmlformats.org/officeDocument/2006/relationships/hyperlink" Target="https://www.ada.gov" TargetMode="External"/><Relationship Id="rId36" Type="http://schemas.openxmlformats.org/officeDocument/2006/relationships/hyperlink" Target="https://www.cdc.gov/vaccines/covid-19/clinical-considerations/older-adults-and-disability.html" TargetMode="External"/><Relationship Id="rId17" Type="http://schemas.openxmlformats.org/officeDocument/2006/relationships/hyperlink" Target="https://www.ada.gov" TargetMode="External"/><Relationship Id="rId39" Type="http://schemas.openxmlformats.org/officeDocument/2006/relationships/hyperlink" Target="https://www.cdc.gov/vaccines/covid-19/clinical-considerations/older-adults-and-disability.html" TargetMode="External"/><Relationship Id="rId16" Type="http://schemas.openxmlformats.org/officeDocument/2006/relationships/hyperlink" Target="https://www.ada.gov" TargetMode="External"/><Relationship Id="rId38" Type="http://schemas.openxmlformats.org/officeDocument/2006/relationships/hyperlink" Target="https://www.cdc.gov/vaccines/covid-19/clinical-considerations/older-adults-and-disability.html" TargetMode="External"/><Relationship Id="rId19" Type="http://schemas.openxmlformats.org/officeDocument/2006/relationships/hyperlink" Target="https://www.cdc.gov/vaccines/covid-19/clinical-considerations/older-adults-and-disability.html" TargetMode="External"/><Relationship Id="rId18" Type="http://schemas.openxmlformats.org/officeDocument/2006/relationships/hyperlink" Target="https://www.cdc.gov/vaccines/covid-19/clinical-considerations/older-adults-and-dis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