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رأي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جلسات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الاستماع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القضائية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2">
      <w:pPr>
        <w:bidi w:val="1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1"/>
        </w:rPr>
        <w:t xml:space="preserve">استراتيجيات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الوصول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إلى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المجتمعات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ذات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الوصول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المحدود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إلى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اللقاحات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المضادة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لوباء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كوفيد</w:t>
      </w:r>
      <w:r w:rsidDel="00000000" w:rsidR="00000000" w:rsidRPr="00000000">
        <w:rPr>
          <w:sz w:val="30"/>
          <w:szCs w:val="30"/>
          <w:rtl w:val="1"/>
        </w:rPr>
        <w:t xml:space="preserve">-19</w:t>
      </w:r>
    </w:p>
    <w:p w:rsidR="00000000" w:rsidDel="00000000" w:rsidP="00000000" w:rsidRDefault="00000000" w:rsidRPr="00000000" w14:paraId="0000000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يتمثل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الأهداف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السبعة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للاستراتيجية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الوطنية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للتعامل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كوفيد</w:t>
      </w:r>
      <w:r w:rsidDel="00000000" w:rsidR="00000000" w:rsidRPr="00000000">
        <w:rPr>
          <w:sz w:val="28"/>
          <w:szCs w:val="28"/>
          <w:rtl w:val="1"/>
        </w:rPr>
        <w:t xml:space="preserve">-19 </w:t>
      </w:r>
      <w:r w:rsidDel="00000000" w:rsidR="00000000" w:rsidRPr="00000000">
        <w:rPr>
          <w:sz w:val="28"/>
          <w:szCs w:val="28"/>
          <w:rtl w:val="1"/>
        </w:rPr>
        <w:t xml:space="preserve">والجاهزية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الوبائية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4"/>
          <w:szCs w:val="24"/>
          <w:rtl w:val="0"/>
        </w:rPr>
        <w:t xml:space="preserve">National Strategy for the COVID-19 Response and Pandemic Preparedness)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حماية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الجماعات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توجد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خطر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لوباء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كوفيد</w:t>
      </w:r>
      <w:r w:rsidDel="00000000" w:rsidR="00000000" w:rsidRPr="00000000">
        <w:rPr>
          <w:sz w:val="28"/>
          <w:szCs w:val="28"/>
          <w:rtl w:val="1"/>
        </w:rPr>
        <w:t xml:space="preserve">-19 </w:t>
      </w:r>
      <w:r w:rsidDel="00000000" w:rsidR="00000000" w:rsidRPr="00000000">
        <w:rPr>
          <w:sz w:val="28"/>
          <w:szCs w:val="28"/>
          <w:rtl w:val="1"/>
        </w:rPr>
        <w:t xml:space="preserve">وتحسين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العدالة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الصحية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https://www.whitehouse.gov/wp-content/uploads/2021/01/National-Strategy-for-the-COVID-19-Response-and-Pandemic-Preparedness.pdf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الوثيقة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الممارسات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ذكرها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جلسات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الاستماع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القضائية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أجريت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فبراير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ومارس</w:t>
      </w:r>
      <w:r w:rsidDel="00000000" w:rsidR="00000000" w:rsidRPr="00000000">
        <w:rPr>
          <w:sz w:val="28"/>
          <w:szCs w:val="28"/>
          <w:rtl w:val="1"/>
        </w:rPr>
        <w:t xml:space="preserve"> 2021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لجنة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التلقيح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التابعة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لمراكز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مراقبة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الأمراض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والوقاية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منها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0"/>
        </w:rPr>
        <w:t xml:space="preserve">CDC</w:t>
      </w:r>
      <w:r w:rsidDel="00000000" w:rsidR="00000000" w:rsidRPr="00000000">
        <w:rPr>
          <w:sz w:val="28"/>
          <w:szCs w:val="28"/>
          <w:rtl w:val="1"/>
        </w:rPr>
        <w:t xml:space="preserve">). </w:t>
      </w:r>
      <w:r w:rsidDel="00000000" w:rsidR="00000000" w:rsidRPr="00000000">
        <w:rPr>
          <w:sz w:val="28"/>
          <w:szCs w:val="28"/>
          <w:rtl w:val="1"/>
        </w:rPr>
        <w:t xml:space="preserve">وقد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ركزت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جلسات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الاستماع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استعمال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العلاقات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الأنظمة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الموجودة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أجل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المجتمعات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تحتاج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المساعدة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للوصول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اللقاح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المضاد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لفيروس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كوفيد</w:t>
      </w:r>
      <w:r w:rsidDel="00000000" w:rsidR="00000000" w:rsidRPr="00000000">
        <w:rPr>
          <w:sz w:val="28"/>
          <w:szCs w:val="28"/>
          <w:rtl w:val="1"/>
        </w:rPr>
        <w:t xml:space="preserve">-19. </w:t>
      </w:r>
      <w:r w:rsidDel="00000000" w:rsidR="00000000" w:rsidRPr="00000000">
        <w:rPr>
          <w:sz w:val="28"/>
          <w:szCs w:val="28"/>
          <w:rtl w:val="1"/>
        </w:rPr>
        <w:t xml:space="preserve">وليست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المذكورة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الوثيقة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توصيات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مراقبة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الأمراض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والوقاية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منها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0"/>
        </w:rPr>
        <w:t xml:space="preserve">CDC</w:t>
      </w:r>
      <w:r w:rsidDel="00000000" w:rsidR="00000000" w:rsidRPr="00000000">
        <w:rPr>
          <w:sz w:val="28"/>
          <w:szCs w:val="28"/>
          <w:rtl w:val="1"/>
        </w:rPr>
        <w:t xml:space="preserve">)، </w:t>
      </w:r>
      <w:r w:rsidDel="00000000" w:rsidR="00000000" w:rsidRPr="00000000">
        <w:rPr>
          <w:sz w:val="28"/>
          <w:szCs w:val="28"/>
          <w:rtl w:val="1"/>
        </w:rPr>
        <w:t xml:space="preserve">ولكنها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استراتيجيات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تستعملها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الفريق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القضائي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لتحديد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المواعيد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وتأمين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وسائل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وتلقيح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الأشخاص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يقدمون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الرعاية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والتعامل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تلقي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التلقيح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وتحديد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الأشخاص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يغادرون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منازلهم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وتلقيحهم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منازلهم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الاستراتيجيات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ذكرتها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السلطة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القضائية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تبقى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اعتبارات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واسعة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أجل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يتسنى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للسلطات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إدخال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تعديلات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فعالة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مجتمعاتها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للمزيد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تواصلوا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مراقبة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الأمراض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والوقاية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الإلكتروني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eocevent417@cdc.gov</w:t>
        </w:r>
      </w:hyperlink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5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تحديد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مواعيد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تلقي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لقاح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كوفيد</w:t>
      </w:r>
      <w:r w:rsidDel="00000000" w:rsidR="00000000" w:rsidRPr="00000000">
        <w:rPr>
          <w:b w:val="1"/>
          <w:sz w:val="28"/>
          <w:szCs w:val="28"/>
          <w:rtl w:val="1"/>
        </w:rPr>
        <w:t xml:space="preserve">-19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للأشخاص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الذين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يحتاجون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المساعدة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للوصول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إلى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مراكز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التلقيح</w:t>
      </w:r>
    </w:p>
    <w:p w:rsidR="00000000" w:rsidDel="00000000" w:rsidP="00000000" w:rsidRDefault="00000000" w:rsidRPr="00000000" w14:paraId="00000007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02.8947368421045"/>
        <w:gridCol w:w="6457.105263157896"/>
        <w:tblGridChange w:id="0">
          <w:tblGrid>
            <w:gridCol w:w="2902.8947368421045"/>
            <w:gridCol w:w="6457.1052631578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bidi w:val="1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النظام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الموجود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bidi w:val="1"/>
              <w:spacing w:line="240" w:lineRule="auto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الاستراتيجيات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المذكورة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طرف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سلطات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الاختصاص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الترابي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المساعدون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الطبيون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الطلب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المساعدين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الطبيين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التواصل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الأشخاص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الذين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يحصلون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دعم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بسبب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احتياجات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خاصة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الخدمات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الاجتماعية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لمساعدتهم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حجز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موعد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لتلقي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اللقاح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المنظمات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الاجتماعية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الاشتغال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المنظمات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كانت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تقدم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خدمات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معينة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داخل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المجتمع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للمساعدة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حجز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مواعيد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تلقي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اللقاح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مثل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المراكز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الاجتماعية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ومراكز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الاعتناء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النهاري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بالبالغين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خطوط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الاتصال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المختصة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إطلاق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خطوط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اتصال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مختصة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لفائدة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الأشخاص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يعتني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بهم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للاتصال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إذا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احتاجوا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للمساعدة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حجز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موعد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التلقيح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المنظمات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الدينية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العمل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القادة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الدينيين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للمساعدة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تحديد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مواعيد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التلقيح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لأتباعهم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ميديكايد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ميديكاير</w:t>
            </w:r>
          </w:p>
          <w:p w:rsidR="00000000" w:rsidDel="00000000" w:rsidP="00000000" w:rsidRDefault="00000000" w:rsidRPr="00000000" w14:paraId="00000013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Medicaid / Medicare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العمل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مؤسستي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ميديكايد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وميديكاير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ومكاتب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الولايات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للشيخوخة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والصحة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السلوكية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والإعاقات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التطورية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للمساعدة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حجز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مواعيد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التلقيح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للأشخاص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الذين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يستفيدون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خدماتها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الصيدليات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إقامة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شراكات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الصيدليات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تستطيع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حجز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مواعيد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التلقيح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للأشخاص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المسنين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وذوي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الاحتياجات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الخاصة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والآخرين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الذين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يحتاجون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للمساعدة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للوصول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التلقيح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مقد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الرعاية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التنسيق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وزارات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الصحة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مقدمي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الخدمات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الآخرين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لتسجيل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شخص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يعيش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مركز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للرعاية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حملات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التلقيح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المركزة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19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تأمين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وسائل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النقل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إلى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مراكز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التلقيح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ليتمك</w:t>
      </w:r>
      <w:r w:rsidDel="00000000" w:rsidR="00000000" w:rsidRPr="00000000">
        <w:rPr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الأشخاص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الوصول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إلى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خدمات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التلقيح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ضد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وباء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كوفيد</w:t>
      </w:r>
      <w:r w:rsidDel="00000000" w:rsidR="00000000" w:rsidRPr="00000000">
        <w:rPr>
          <w:b w:val="1"/>
          <w:sz w:val="28"/>
          <w:szCs w:val="28"/>
          <w:rtl w:val="1"/>
        </w:rPr>
        <w:t xml:space="preserve">-19</w:t>
      </w:r>
    </w:p>
    <w:p w:rsidR="00000000" w:rsidDel="00000000" w:rsidP="00000000" w:rsidRDefault="00000000" w:rsidRPr="00000000" w14:paraId="0000001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02.8947368421045"/>
        <w:gridCol w:w="6457.105263157896"/>
        <w:tblGridChange w:id="0">
          <w:tblGrid>
            <w:gridCol w:w="2902.8947368421045"/>
            <w:gridCol w:w="6457.1052631578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bidi w:val="1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النظام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الموجود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bidi w:val="1"/>
              <w:spacing w:line="240" w:lineRule="auto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الاستراتيجيات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المذكورة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طرف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السلطة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القضائية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المساعدون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الطبيون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مناقشة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طرق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تسمح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بمنح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تعويض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مادي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لمقدمي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الرعاية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لقاء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نقل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الأشخاص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ذوي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الاحتياجات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الخاصة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مراكز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التلقيح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المنظمات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الاجتماعية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الاشتغال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المنظمات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تقدم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نقلا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مسهل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ً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مراكز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التلقيح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وزارة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النقل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العمل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وزارة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النقل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أجل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تقديم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نقل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عمومي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مجاني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مراكز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التلقيح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المنظمات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الدينية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عقد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شراكات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القادة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الدينيين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أجل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توفير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النقل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لفائدة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أتباعهم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مراكز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التلقيح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ميديكايد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ميديكاير</w:t>
            </w:r>
          </w:p>
          <w:p w:rsidR="00000000" w:rsidDel="00000000" w:rsidP="00000000" w:rsidRDefault="00000000" w:rsidRPr="00000000" w14:paraId="00000027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Medicaid / Medicare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تذكير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الأشخاص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المستحقين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الاستفادة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النقل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الطبي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الغير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استعجالي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لتأمين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التنقل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مراكز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التلقيح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الخدمات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ذات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الطابع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غير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الاستعجالي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عقد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شراكات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الوحدات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الطبية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ذات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الطابع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غير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الاستعجالي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لتقديم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وسائل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نقل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ملائمة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مراكز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التلقيح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شركات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النقل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الخاص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التواصل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شركات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النقل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الخاص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أجل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تطوير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برنامج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لنقل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الأشخاص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الذين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يتحركون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بمساعدة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كرسي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متحرك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مراكز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التلقيح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خدمات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مشاركة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النقل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التعاون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خدمات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تقاسم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النقل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أجل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نقل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الأشخاص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الذين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قد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يحتاجون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المساعدة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للوصول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مراكظ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التلقيح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2F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تلقيح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مقدمي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الرعاية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مدفوعي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الأجر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والمتطوعين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ذلك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أفراد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العائلة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يعتنون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بأشخاص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مسنين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أشخاص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ذوي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الاحتياجات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الخاصة</w:t>
      </w:r>
    </w:p>
    <w:p w:rsidR="00000000" w:rsidDel="00000000" w:rsidP="00000000" w:rsidRDefault="00000000" w:rsidRPr="00000000" w14:paraId="00000031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02.8947368421045"/>
        <w:gridCol w:w="6457.105263157896"/>
        <w:tblGridChange w:id="0">
          <w:tblGrid>
            <w:gridCol w:w="2902.8947368421045"/>
            <w:gridCol w:w="6457.1052631578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bidi w:val="1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النظام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الموجود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bidi w:val="1"/>
              <w:spacing w:line="240" w:lineRule="auto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الاستراتيجيات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المذكورة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طرف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السلطة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القضائية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التلقيح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المنزل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التفكير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تلقيح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أفراد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العائلة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ومقدمي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الرعاية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نفس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الوقت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الأفراد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الذين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يغادرون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منازلهم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المنعزلين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المجتمع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حملات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التلقيح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عقد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شراكات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مقدمي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التلقيح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لاستضافة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حملات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تلقيح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مواقع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مناسبة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للأشخاص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الذين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قد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يحتاجون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المساعدة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الوصول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اللقاح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وكذا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الأشخاص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الذين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يقدمون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الرعاية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المجانية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غير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المجانية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لهم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خطط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التلقيح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التفكير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مقاربات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لتسهيل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التلقيح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لفائدة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مقدمي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خدمات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الرعاية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المجانية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المدفوعة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الأجر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للمسنين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والأشخاص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ذوي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الاحتياجات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الخاصة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إعفاءات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التلقيح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تقديم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إعفاءات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تلقيح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مرخصة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طرف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الولايات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لمقدمي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خدمات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التلقيح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ليتمكنوا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تلقيح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مقدمي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الرعاية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النفس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الوقت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الأشخاص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المسنين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وذوي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الاحتياجات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الخاصة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الذين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يرعونهم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 </w:t>
            </w:r>
          </w:p>
        </w:tc>
      </w:tr>
    </w:tbl>
    <w:p w:rsidR="00000000" w:rsidDel="00000000" w:rsidP="00000000" w:rsidRDefault="00000000" w:rsidRPr="00000000" w14:paraId="0000003D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التعامل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حالة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التردد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تجاه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اللقاح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المضاد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لوباء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كوفيد</w:t>
      </w:r>
      <w:r w:rsidDel="00000000" w:rsidR="00000000" w:rsidRPr="00000000">
        <w:rPr>
          <w:b w:val="1"/>
          <w:sz w:val="28"/>
          <w:szCs w:val="28"/>
          <w:rtl w:val="1"/>
        </w:rPr>
        <w:t xml:space="preserve">-19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أوساط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الأشخاص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الذين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بحاجة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للوصول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إلى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اللقاح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02.8947368421045"/>
        <w:gridCol w:w="6457.105263157896"/>
        <w:tblGridChange w:id="0">
          <w:tblGrid>
            <w:gridCol w:w="2902.8947368421045"/>
            <w:gridCol w:w="6457.1052631578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bidi w:val="1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النظام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الموجود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bidi w:val="1"/>
              <w:spacing w:line="240" w:lineRule="auto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الاستراتيجيات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المذكورة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طرف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السلطة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القضائية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اللقاءات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المفتوحة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تنظيم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لقاءات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مفتوحة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المجتمع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لتقديم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معلومات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حول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اللقاح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المضاد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لفيروس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كوفيد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-19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والإجابة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أسئلة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الأفراد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ومخاوفهم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القادة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الدينيين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الطلب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القادة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الدينيين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مناقشة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التلقيح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ضد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فيروس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كوفيد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-19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أتباعهم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بما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ذلك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أهمية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اللقاح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وسلامته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وفعاليته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مقدموا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خدمات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الرعاية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الصحية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تزويد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مقدمي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خدمات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الرعاية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الصحية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بالموارد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المتاحة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للمساعدة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تشجيع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الحوار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مرضاهم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حول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الاستفادة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اللقاح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المضاد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لفيروس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كوفيد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-19.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الرسائل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الفردية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ومشاركة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التجارب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إشراك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الأشخاص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الذين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قد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يحتاجون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المساعدة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للوصول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اللقاح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وكذا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مقدمي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الرعاية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لهم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لمشاركة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تجربتهم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اللقاح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نظرائهم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المجتمع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سفراء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التلقيح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تجنيد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سفراء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للتلقيح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يكونون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محل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ثقة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المجتمع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للدفاع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التلقيح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ضد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فيروس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كوفيد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-19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المجتمع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4C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تحديد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الأشخاص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الذين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لا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يغادرون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منازلهم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أو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المنعزلين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للاستفادة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اللقاح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المضاد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لفيروس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كوفيد</w:t>
      </w:r>
      <w:r w:rsidDel="00000000" w:rsidR="00000000" w:rsidRPr="00000000">
        <w:rPr>
          <w:b w:val="1"/>
          <w:sz w:val="32"/>
          <w:szCs w:val="32"/>
          <w:rtl w:val="1"/>
        </w:rPr>
        <w:t xml:space="preserve">-19</w:t>
      </w:r>
    </w:p>
    <w:p w:rsidR="00000000" w:rsidDel="00000000" w:rsidP="00000000" w:rsidRDefault="00000000" w:rsidRPr="00000000" w14:paraId="0000004F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02.8947368421045"/>
        <w:gridCol w:w="6457.105263157896"/>
        <w:tblGridChange w:id="0">
          <w:tblGrid>
            <w:gridCol w:w="2902.8947368421045"/>
            <w:gridCol w:w="6457.1052631578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bidi w:val="1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النظام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الموجود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bidi w:val="1"/>
              <w:spacing w:line="240" w:lineRule="auto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الاستراتيجيات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المذكورة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طرف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السلطة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القضائية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وكالات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خدمات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الشيخوخة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والإعاقة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الاشتغال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الوكالات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المحلية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للشيخوخة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ومراكز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العيش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المستقل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لتحديد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الأشخاص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الذين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يغادرون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منازلهم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منظمات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المجتمع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المدني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الالتماس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منظمة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Meals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on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Wheels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ومنظمات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أخرى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العمل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إدارات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الصحة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المحلية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للمساعدة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تحديد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الأشخاص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الذين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يغادرون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منازلهم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المنظمات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الدينية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العمل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المنظمات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الدينية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لتحديد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الأشخاص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الذين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يغادرون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منازلهم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داخل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دوائر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أتباعهم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9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ميديكايد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ميديكاير</w:t>
            </w:r>
          </w:p>
          <w:p w:rsidR="00000000" w:rsidDel="00000000" w:rsidP="00000000" w:rsidRDefault="00000000" w:rsidRPr="00000000" w14:paraId="0000005B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Medicaid / Medicare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العمل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مؤسستي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ميديكايد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وميديكاير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ومكاتب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الولايات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للشيخوخة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والصحة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السلوكية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والإعاقات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التطورية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لتحديد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الزبائن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الذين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يحتاجون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مستوى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الرعاية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المقدم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دور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رعاية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المسنين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ويعيشون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منازلهم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وسط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المجتمع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التحديد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الذاتي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إطلاق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خط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اتصال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خاص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بالأشخاص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الذين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يعرفون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أنفسهم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بأنهم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يبقون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منازلهم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يقدمون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الرعاية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لهم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إذا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احتاجوا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حجز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موعد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للتلقيح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المنزل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5F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الوصول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إلى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الأشخاص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الذين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لا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يغادرون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منازلهم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أو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المنعزلين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لتلقيحهم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ضد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فيروس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كوفيد</w:t>
      </w:r>
      <w:r w:rsidDel="00000000" w:rsidR="00000000" w:rsidRPr="00000000">
        <w:rPr>
          <w:b w:val="1"/>
          <w:sz w:val="32"/>
          <w:szCs w:val="32"/>
          <w:rtl w:val="1"/>
        </w:rPr>
        <w:t xml:space="preserve">-19</w:t>
      </w:r>
    </w:p>
    <w:p w:rsidR="00000000" w:rsidDel="00000000" w:rsidP="00000000" w:rsidRDefault="00000000" w:rsidRPr="00000000" w14:paraId="00000062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02.8947368421045"/>
        <w:gridCol w:w="6457.105263157896"/>
        <w:tblGridChange w:id="0">
          <w:tblGrid>
            <w:gridCol w:w="2902.8947368421045"/>
            <w:gridCol w:w="6457.1052631578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bidi w:val="1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النظام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الموجود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bidi w:val="1"/>
              <w:spacing w:line="240" w:lineRule="auto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الاستراتيجيات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المذكورة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طرف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السلطة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القضائية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منظمات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المجتمع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المدني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العمل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برامج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الزيارة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المنزلية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والمصالح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الاجتماعية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والصحية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لوضع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خطة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لتلقيح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الأشخاص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الذين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يستفيدون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خدماتهم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المصالح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الطبية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المستعجلة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عقد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شراكات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شعبة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الإطفاء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ووحدات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الطوارئ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الأخرى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لتسهيل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عمليات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التلقيح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بالمنزل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لفائدة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الأفراد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الذين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يغادرون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منازلهم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ينعزلون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المجتمع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أنظمة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الرعاية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الصحية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ومقدميها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حث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ّ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مقدمي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الرعاية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والأنظمة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الصحية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المستقلين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تقديم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خدمات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التلقيح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بالمنزل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وإيجاد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طرق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لتعويضهم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ماليا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لقاء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عملهم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ميديكايد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ميديكاير</w:t>
            </w:r>
          </w:p>
          <w:p w:rsidR="00000000" w:rsidDel="00000000" w:rsidP="00000000" w:rsidRDefault="00000000" w:rsidRPr="00000000" w14:paraId="0000006C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Medicaid / Medicare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استعمال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مقدمي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خدمات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الزيارة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المنزلية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لمؤسستي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ميديكايد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وميديكاير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للمساعدة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التلقيح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بالمنزل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الوحدات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المتنقلة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والفرق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توفير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وحدات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متنقلة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العمل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الحرس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الوطني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وشركات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التلقيح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بالمنزل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لتقديم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التلقيح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المنزلي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للأفراد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الذين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يغادرون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منازلهم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ينعزلون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المجتمع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 </w:t>
            </w:r>
          </w:p>
        </w:tc>
      </w:tr>
    </w:tbl>
    <w:p w:rsidR="00000000" w:rsidDel="00000000" w:rsidP="00000000" w:rsidRDefault="00000000" w:rsidRPr="00000000" w14:paraId="00000070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موارد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مركز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مراقبة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الأمراض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والوقاية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منها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تدعم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مسؤولي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الصحة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الولايات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72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موارد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تلقيح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الأشخاص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الذين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يواجهون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تحديات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الوصول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إلى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اللقاح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7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الموارد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بالتلقيح</w:t>
      </w:r>
    </w:p>
    <w:p w:rsidR="00000000" w:rsidDel="00000000" w:rsidP="00000000" w:rsidRDefault="00000000" w:rsidRPr="00000000" w14:paraId="0000007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bidi w:val="1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ff9900"/>
          <w:sz w:val="28"/>
          <w:szCs w:val="28"/>
          <w:rtl w:val="0"/>
        </w:rPr>
        <w:t xml:space="preserve">￭ </w:t>
      </w: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اعتبارات</w:t>
        </w:r>
      </w:hyperlink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اللقاح</w:t>
        </w:r>
      </w:hyperlink>
      <w:hyperlink r:id="rId11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12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بالنسبة</w:t>
        </w:r>
      </w:hyperlink>
      <w:hyperlink r:id="rId13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14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للأشخاص</w:t>
        </w:r>
      </w:hyperlink>
      <w:hyperlink r:id="rId15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16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ذوي</w:t>
        </w:r>
      </w:hyperlink>
      <w:hyperlink r:id="rId17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18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الاحتياجات</w:t>
        </w:r>
      </w:hyperlink>
      <w:hyperlink r:id="rId19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20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الخاصة</w:t>
        </w:r>
      </w:hyperlink>
      <w:hyperlink r:id="rId21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     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28"/>
          <w:szCs w:val="28"/>
        </w:rPr>
      </w:pPr>
      <w:hyperlink r:id="rId22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Vaccine Considerations for People with Disabilities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bidi w:val="1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ff9900"/>
          <w:sz w:val="28"/>
          <w:szCs w:val="28"/>
          <w:rtl w:val="0"/>
        </w:rPr>
        <w:t xml:space="preserve">￭ </w:t>
      </w:r>
      <w:hyperlink r:id="rId23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الاعتبارات</w:t>
        </w:r>
      </w:hyperlink>
      <w:hyperlink r:id="rId24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25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الصحية</w:t>
        </w:r>
      </w:hyperlink>
      <w:hyperlink r:id="rId26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: </w:t>
        </w:r>
      </w:hyperlink>
      <w:hyperlink r:id="rId27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تلقيح</w:t>
        </w:r>
      </w:hyperlink>
      <w:hyperlink r:id="rId28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29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الأشخاص</w:t>
        </w:r>
      </w:hyperlink>
      <w:hyperlink r:id="rId30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31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المسنين</w:t>
        </w:r>
      </w:hyperlink>
      <w:hyperlink r:id="rId32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33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وذوي</w:t>
        </w:r>
      </w:hyperlink>
      <w:hyperlink r:id="rId34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35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الاحتياجات</w:t>
        </w:r>
      </w:hyperlink>
      <w:hyperlink r:id="rId36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37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الخاصة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sz w:val="28"/>
          <w:szCs w:val="28"/>
        </w:rPr>
      </w:pPr>
      <w:hyperlink r:id="rId3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Clinical Considerations: Vaccinating Older Adults and People with Disabilities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bidi w:val="1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ff9900"/>
          <w:sz w:val="28"/>
          <w:szCs w:val="28"/>
          <w:rtl w:val="0"/>
        </w:rPr>
        <w:t xml:space="preserve">￭ </w:t>
      </w:r>
      <w:hyperlink r:id="rId39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الاعتبارات</w:t>
        </w:r>
      </w:hyperlink>
      <w:hyperlink r:id="rId40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41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الصحية</w:t>
        </w:r>
      </w:hyperlink>
      <w:hyperlink r:id="rId42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: </w:t>
        </w:r>
      </w:hyperlink>
      <w:hyperlink r:id="rId43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تلقيح</w:t>
        </w:r>
      </w:hyperlink>
      <w:hyperlink r:id="rId44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45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الأشخاص</w:t>
        </w:r>
      </w:hyperlink>
      <w:hyperlink r:id="rId46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47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الذين</w:t>
        </w:r>
      </w:hyperlink>
      <w:hyperlink r:id="rId48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49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لا</w:t>
        </w:r>
      </w:hyperlink>
      <w:hyperlink r:id="rId50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51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يغادرون</w:t>
        </w:r>
      </w:hyperlink>
      <w:hyperlink r:id="rId52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53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منازلهم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sz w:val="28"/>
          <w:szCs w:val="28"/>
        </w:rPr>
      </w:pPr>
      <w:hyperlink r:id="rId54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Clinical Considerations: Vaccinating homebound persons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وثائق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التخطيط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والتوجيه</w:t>
      </w:r>
    </w:p>
    <w:p w:rsidR="00000000" w:rsidDel="00000000" w:rsidP="00000000" w:rsidRDefault="00000000" w:rsidRPr="00000000" w14:paraId="0000007F">
      <w:pPr>
        <w:bidi w:val="1"/>
        <w:rPr>
          <w:color w:val="ff99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bidi w:val="1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ff9900"/>
          <w:sz w:val="28"/>
          <w:szCs w:val="28"/>
          <w:rtl w:val="0"/>
        </w:rPr>
        <w:t xml:space="preserve">￭ </w:t>
      </w:r>
      <w:hyperlink r:id="rId55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توجيهات</w:t>
        </w:r>
      </w:hyperlink>
      <w:hyperlink r:id="rId56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57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لمقدمي</w:t>
        </w:r>
      </w:hyperlink>
      <w:hyperlink r:id="rId58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59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الخدمات</w:t>
        </w:r>
      </w:hyperlink>
      <w:hyperlink r:id="rId60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61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المباشرين</w:t>
        </w:r>
      </w:hyperlink>
      <w:hyperlink r:id="rId62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63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لفائدة</w:t>
        </w:r>
      </w:hyperlink>
      <w:hyperlink r:id="rId64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65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الأشخاص</w:t>
        </w:r>
      </w:hyperlink>
      <w:hyperlink r:id="rId66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67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ذوي</w:t>
        </w:r>
      </w:hyperlink>
      <w:hyperlink r:id="rId68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69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الاحتياجات</w:t>
        </w:r>
      </w:hyperlink>
      <w:hyperlink r:id="rId70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71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الخاصة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sz w:val="28"/>
          <w:szCs w:val="28"/>
        </w:rPr>
      </w:pPr>
      <w:hyperlink r:id="rId72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Guidance for Direct Service Providers for People with Disabilities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bidi w:val="1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ff9900"/>
          <w:sz w:val="28"/>
          <w:szCs w:val="28"/>
          <w:rtl w:val="0"/>
        </w:rPr>
        <w:t xml:space="preserve">￭ </w:t>
      </w:r>
      <w:hyperlink r:id="rId73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توجيهات</w:t>
        </w:r>
      </w:hyperlink>
      <w:hyperlink r:id="rId74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75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خاصة</w:t>
        </w:r>
      </w:hyperlink>
      <w:hyperlink r:id="rId76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77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بتلقيح</w:t>
        </w:r>
      </w:hyperlink>
      <w:hyperlink r:id="rId78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79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الأشخاص</w:t>
        </w:r>
      </w:hyperlink>
      <w:hyperlink r:id="rId80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81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المسنين</w:t>
        </w:r>
      </w:hyperlink>
      <w:hyperlink r:id="rId82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83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وذوي</w:t>
        </w:r>
      </w:hyperlink>
      <w:hyperlink r:id="rId84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85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الاحتياجات</w:t>
        </w:r>
      </w:hyperlink>
      <w:hyperlink r:id="rId86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87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الخاصة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sz w:val="28"/>
          <w:szCs w:val="28"/>
        </w:rPr>
      </w:pPr>
      <w:hyperlink r:id="rId8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Guidance for Vaccinating Older Adults and People with Disabilities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الموارد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الافتراضية</w:t>
      </w:r>
    </w:p>
    <w:p w:rsidR="00000000" w:rsidDel="00000000" w:rsidP="00000000" w:rsidRDefault="00000000" w:rsidRPr="00000000" w14:paraId="0000008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bidi w:val="1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ff9900"/>
          <w:sz w:val="28"/>
          <w:szCs w:val="28"/>
          <w:rtl w:val="0"/>
        </w:rPr>
        <w:t xml:space="preserve">￭ </w:t>
      </w:r>
      <w:hyperlink r:id="rId89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الأشخاص</w:t>
        </w:r>
      </w:hyperlink>
      <w:hyperlink r:id="rId90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91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الذين</w:t>
        </w:r>
      </w:hyperlink>
      <w:hyperlink r:id="rId92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93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يعانون</w:t>
        </w:r>
      </w:hyperlink>
      <w:hyperlink r:id="rId94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95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من</w:t>
        </w:r>
      </w:hyperlink>
      <w:hyperlink r:id="rId96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97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أمراض</w:t>
        </w:r>
      </w:hyperlink>
      <w:hyperlink r:id="rId98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99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معينة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sz w:val="28"/>
          <w:szCs w:val="28"/>
        </w:rPr>
      </w:pPr>
      <w:hyperlink r:id="rId10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People with Certain Medical Conditions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bidi w:val="1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ff9900"/>
          <w:sz w:val="28"/>
          <w:szCs w:val="28"/>
          <w:rtl w:val="0"/>
        </w:rPr>
        <w:t xml:space="preserve">￭ </w:t>
      </w:r>
      <w:hyperlink r:id="rId101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سلسلة</w:t>
        </w:r>
      </w:hyperlink>
      <w:hyperlink r:id="rId102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103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أشرطة</w:t>
        </w:r>
      </w:hyperlink>
      <w:hyperlink r:id="rId104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105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الفيديو</w:t>
        </w:r>
      </w:hyperlink>
      <w:hyperlink r:id="rId106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107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الخاصة</w:t>
        </w:r>
      </w:hyperlink>
      <w:hyperlink r:id="rId108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109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بلغة</w:t>
        </w:r>
      </w:hyperlink>
      <w:hyperlink r:id="rId110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111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الإشارة</w:t>
        </w:r>
      </w:hyperlink>
      <w:hyperlink r:id="rId112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113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الأمريكية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sz w:val="28"/>
          <w:szCs w:val="28"/>
        </w:rPr>
      </w:pPr>
      <w:hyperlink r:id="rId114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American Sign Language (ASL) Video Series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bidi w:val="1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ff9900"/>
          <w:sz w:val="28"/>
          <w:szCs w:val="28"/>
          <w:rtl w:val="0"/>
        </w:rPr>
        <w:t xml:space="preserve">￭ </w:t>
      </w:r>
      <w:hyperlink r:id="rId115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موارد</w:t>
        </w:r>
      </w:hyperlink>
      <w:hyperlink r:id="rId116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117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خاصة</w:t>
        </w:r>
      </w:hyperlink>
      <w:hyperlink r:id="rId118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119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بوباء</w:t>
        </w:r>
      </w:hyperlink>
      <w:hyperlink r:id="rId120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121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كوفيد</w:t>
        </w:r>
      </w:hyperlink>
      <w:hyperlink r:id="rId122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-19 </w:t>
        </w:r>
      </w:hyperlink>
      <w:hyperlink r:id="rId123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سهلة</w:t>
        </w:r>
      </w:hyperlink>
      <w:hyperlink r:id="rId124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125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القراءة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sz w:val="28"/>
          <w:szCs w:val="28"/>
        </w:rPr>
      </w:pPr>
      <w:hyperlink r:id="rId12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Easy to Read COVID-19 Materials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cdc.gov/vaccines/covid-19/clinical-considerations/homebound-persons.html" TargetMode="External"/><Relationship Id="rId42" Type="http://schemas.openxmlformats.org/officeDocument/2006/relationships/hyperlink" Target="https://www.cdc.gov/vaccines/covid-19/clinical-considerations/homebound-persons.html" TargetMode="External"/><Relationship Id="rId41" Type="http://schemas.openxmlformats.org/officeDocument/2006/relationships/hyperlink" Target="https://www.cdc.gov/vaccines/covid-19/clinical-considerations/homebound-persons.html" TargetMode="External"/><Relationship Id="rId44" Type="http://schemas.openxmlformats.org/officeDocument/2006/relationships/hyperlink" Target="https://www.cdc.gov/vaccines/covid-19/clinical-considerations/homebound-persons.html" TargetMode="External"/><Relationship Id="rId43" Type="http://schemas.openxmlformats.org/officeDocument/2006/relationships/hyperlink" Target="https://www.cdc.gov/vaccines/covid-19/clinical-considerations/homebound-persons.html" TargetMode="External"/><Relationship Id="rId46" Type="http://schemas.openxmlformats.org/officeDocument/2006/relationships/hyperlink" Target="https://www.cdc.gov/vaccines/covid-19/clinical-considerations/homebound-persons.html" TargetMode="External"/><Relationship Id="rId45" Type="http://schemas.openxmlformats.org/officeDocument/2006/relationships/hyperlink" Target="https://www.cdc.gov/vaccines/covid-19/clinical-considerations/homebound-persons.html" TargetMode="External"/><Relationship Id="rId107" Type="http://schemas.openxmlformats.org/officeDocument/2006/relationships/hyperlink" Target="https://www.youtube.com/playlist?app=desktop&amp;list=PLvrp9iOILTQatwnqm61jqFrsfUB4RKh6J" TargetMode="External"/><Relationship Id="rId106" Type="http://schemas.openxmlformats.org/officeDocument/2006/relationships/hyperlink" Target="https://www.youtube.com/playlist?app=desktop&amp;list=PLvrp9iOILTQatwnqm61jqFrsfUB4RKh6J" TargetMode="External"/><Relationship Id="rId105" Type="http://schemas.openxmlformats.org/officeDocument/2006/relationships/hyperlink" Target="https://www.youtube.com/playlist?app=desktop&amp;list=PLvrp9iOILTQatwnqm61jqFrsfUB4RKh6J" TargetMode="External"/><Relationship Id="rId104" Type="http://schemas.openxmlformats.org/officeDocument/2006/relationships/hyperlink" Target="https://www.youtube.com/playlist?app=desktop&amp;list=PLvrp9iOILTQatwnqm61jqFrsfUB4RKh6J" TargetMode="External"/><Relationship Id="rId109" Type="http://schemas.openxmlformats.org/officeDocument/2006/relationships/hyperlink" Target="https://www.youtube.com/playlist?app=desktop&amp;list=PLvrp9iOILTQatwnqm61jqFrsfUB4RKh6J" TargetMode="External"/><Relationship Id="rId108" Type="http://schemas.openxmlformats.org/officeDocument/2006/relationships/hyperlink" Target="https://www.youtube.com/playlist?app=desktop&amp;list=PLvrp9iOILTQatwnqm61jqFrsfUB4RKh6J" TargetMode="External"/><Relationship Id="rId48" Type="http://schemas.openxmlformats.org/officeDocument/2006/relationships/hyperlink" Target="https://www.cdc.gov/vaccines/covid-19/clinical-considerations/homebound-persons.html" TargetMode="External"/><Relationship Id="rId47" Type="http://schemas.openxmlformats.org/officeDocument/2006/relationships/hyperlink" Target="https://www.cdc.gov/vaccines/covid-19/clinical-considerations/homebound-persons.html" TargetMode="External"/><Relationship Id="rId49" Type="http://schemas.openxmlformats.org/officeDocument/2006/relationships/hyperlink" Target="https://www.cdc.gov/vaccines/covid-19/clinical-considerations/homebound-persons.html" TargetMode="External"/><Relationship Id="rId103" Type="http://schemas.openxmlformats.org/officeDocument/2006/relationships/hyperlink" Target="https://www.youtube.com/playlist?app=desktop&amp;list=PLvrp9iOILTQatwnqm61jqFrsfUB4RKh6J" TargetMode="External"/><Relationship Id="rId102" Type="http://schemas.openxmlformats.org/officeDocument/2006/relationships/hyperlink" Target="https://www.youtube.com/playlist?app=desktop&amp;list=PLvrp9iOILTQatwnqm61jqFrsfUB4RKh6J" TargetMode="External"/><Relationship Id="rId101" Type="http://schemas.openxmlformats.org/officeDocument/2006/relationships/hyperlink" Target="https://www.youtube.com/playlist?app=desktop&amp;list=PLvrp9iOILTQatwnqm61jqFrsfUB4RKh6J" TargetMode="External"/><Relationship Id="rId100" Type="http://schemas.openxmlformats.org/officeDocument/2006/relationships/hyperlink" Target="https://www.cdc.gov/coronavirus/2019-ncov/need-extra-precautions/people-with-medical-conditions.html" TargetMode="External"/><Relationship Id="rId31" Type="http://schemas.openxmlformats.org/officeDocument/2006/relationships/hyperlink" Target="https://www.cdc.gov/vaccines/covid-19/clinical-considerations/older-adults-and-disability.html" TargetMode="External"/><Relationship Id="rId30" Type="http://schemas.openxmlformats.org/officeDocument/2006/relationships/hyperlink" Target="https://www.cdc.gov/vaccines/covid-19/clinical-considerations/older-adults-and-disability.html" TargetMode="External"/><Relationship Id="rId33" Type="http://schemas.openxmlformats.org/officeDocument/2006/relationships/hyperlink" Target="https://www.cdc.gov/vaccines/covid-19/clinical-considerations/older-adults-and-disability.html" TargetMode="External"/><Relationship Id="rId32" Type="http://schemas.openxmlformats.org/officeDocument/2006/relationships/hyperlink" Target="https://www.cdc.gov/vaccines/covid-19/clinical-considerations/older-adults-and-disability.html" TargetMode="External"/><Relationship Id="rId35" Type="http://schemas.openxmlformats.org/officeDocument/2006/relationships/hyperlink" Target="https://www.cdc.gov/vaccines/covid-19/clinical-considerations/older-adults-and-disability.html" TargetMode="External"/><Relationship Id="rId34" Type="http://schemas.openxmlformats.org/officeDocument/2006/relationships/hyperlink" Target="https://www.cdc.gov/vaccines/covid-19/clinical-considerations/older-adults-and-disability.html" TargetMode="External"/><Relationship Id="rId37" Type="http://schemas.openxmlformats.org/officeDocument/2006/relationships/hyperlink" Target="https://www.cdc.gov/vaccines/covid-19/clinical-considerations/older-adults-and-disability.html" TargetMode="External"/><Relationship Id="rId36" Type="http://schemas.openxmlformats.org/officeDocument/2006/relationships/hyperlink" Target="https://www.cdc.gov/vaccines/covid-19/clinical-considerations/older-adults-and-disability.html" TargetMode="External"/><Relationship Id="rId39" Type="http://schemas.openxmlformats.org/officeDocument/2006/relationships/hyperlink" Target="https://www.cdc.gov/vaccines/covid-19/clinical-considerations/homebound-persons.html" TargetMode="External"/><Relationship Id="rId38" Type="http://schemas.openxmlformats.org/officeDocument/2006/relationships/hyperlink" Target="https://www.cdc.gov/vaccines/covid-19/clinical-considerations/older-adults-and-disability.html" TargetMode="External"/><Relationship Id="rId20" Type="http://schemas.openxmlformats.org/officeDocument/2006/relationships/hyperlink" Target="https://www.cdc.gov/coronavirus/2019-ncov/vaccines/recommendations/disabilities.html" TargetMode="External"/><Relationship Id="rId22" Type="http://schemas.openxmlformats.org/officeDocument/2006/relationships/hyperlink" Target="https://www.cdc.gov/coronavirus/2019-ncov/vaccines/recommendations/disabilities.html" TargetMode="External"/><Relationship Id="rId21" Type="http://schemas.openxmlformats.org/officeDocument/2006/relationships/hyperlink" Target="https://www.cdc.gov/coronavirus/2019-ncov/vaccines/recommendations/disabilities.html" TargetMode="External"/><Relationship Id="rId24" Type="http://schemas.openxmlformats.org/officeDocument/2006/relationships/hyperlink" Target="https://www.cdc.gov/vaccines/covid-19/clinical-considerations/older-adults-and-disability.html" TargetMode="External"/><Relationship Id="rId23" Type="http://schemas.openxmlformats.org/officeDocument/2006/relationships/hyperlink" Target="https://www.cdc.gov/vaccines/covid-19/clinical-considerations/older-adults-and-disability.html" TargetMode="External"/><Relationship Id="rId126" Type="http://schemas.openxmlformats.org/officeDocument/2006/relationships/hyperlink" Target="https://www.cdc.gov/coronavirus/2019-ncov/easy-to-read/index.html" TargetMode="External"/><Relationship Id="rId26" Type="http://schemas.openxmlformats.org/officeDocument/2006/relationships/hyperlink" Target="https://www.cdc.gov/vaccines/covid-19/clinical-considerations/older-adults-and-disability.html" TargetMode="External"/><Relationship Id="rId121" Type="http://schemas.openxmlformats.org/officeDocument/2006/relationships/hyperlink" Target="https://www.cdc.gov/coronavirus/2019-ncov/easy-to-read/index.html" TargetMode="External"/><Relationship Id="rId25" Type="http://schemas.openxmlformats.org/officeDocument/2006/relationships/hyperlink" Target="https://www.cdc.gov/vaccines/covid-19/clinical-considerations/older-adults-and-disability.html" TargetMode="External"/><Relationship Id="rId120" Type="http://schemas.openxmlformats.org/officeDocument/2006/relationships/hyperlink" Target="https://www.cdc.gov/coronavirus/2019-ncov/easy-to-read/index.html" TargetMode="External"/><Relationship Id="rId28" Type="http://schemas.openxmlformats.org/officeDocument/2006/relationships/hyperlink" Target="https://www.cdc.gov/vaccines/covid-19/clinical-considerations/older-adults-and-disability.html" TargetMode="External"/><Relationship Id="rId27" Type="http://schemas.openxmlformats.org/officeDocument/2006/relationships/hyperlink" Target="https://www.cdc.gov/vaccines/covid-19/clinical-considerations/older-adults-and-disability.html" TargetMode="External"/><Relationship Id="rId125" Type="http://schemas.openxmlformats.org/officeDocument/2006/relationships/hyperlink" Target="https://www.cdc.gov/coronavirus/2019-ncov/easy-to-read/index.html" TargetMode="External"/><Relationship Id="rId29" Type="http://schemas.openxmlformats.org/officeDocument/2006/relationships/hyperlink" Target="https://www.cdc.gov/vaccines/covid-19/clinical-considerations/older-adults-and-disability.html" TargetMode="External"/><Relationship Id="rId124" Type="http://schemas.openxmlformats.org/officeDocument/2006/relationships/hyperlink" Target="https://www.cdc.gov/coronavirus/2019-ncov/easy-to-read/index.html" TargetMode="External"/><Relationship Id="rId123" Type="http://schemas.openxmlformats.org/officeDocument/2006/relationships/hyperlink" Target="https://www.cdc.gov/coronavirus/2019-ncov/easy-to-read/index.html" TargetMode="External"/><Relationship Id="rId122" Type="http://schemas.openxmlformats.org/officeDocument/2006/relationships/hyperlink" Target="https://www.cdc.gov/coronavirus/2019-ncov/easy-to-read/index.html" TargetMode="External"/><Relationship Id="rId95" Type="http://schemas.openxmlformats.org/officeDocument/2006/relationships/hyperlink" Target="https://www.cdc.gov/coronavirus/2019-ncov/need-extra-precautions/people-with-medical-conditions.html" TargetMode="External"/><Relationship Id="rId94" Type="http://schemas.openxmlformats.org/officeDocument/2006/relationships/hyperlink" Target="https://www.cdc.gov/coronavirus/2019-ncov/need-extra-precautions/people-with-medical-conditions.html" TargetMode="External"/><Relationship Id="rId97" Type="http://schemas.openxmlformats.org/officeDocument/2006/relationships/hyperlink" Target="https://www.cdc.gov/coronavirus/2019-ncov/need-extra-precautions/people-with-medical-conditions.html" TargetMode="External"/><Relationship Id="rId96" Type="http://schemas.openxmlformats.org/officeDocument/2006/relationships/hyperlink" Target="https://www.cdc.gov/coronavirus/2019-ncov/need-extra-precautions/people-with-medical-conditions.html" TargetMode="External"/><Relationship Id="rId11" Type="http://schemas.openxmlformats.org/officeDocument/2006/relationships/hyperlink" Target="https://www.cdc.gov/coronavirus/2019-ncov/vaccines/recommendations/disabilities.html" TargetMode="External"/><Relationship Id="rId99" Type="http://schemas.openxmlformats.org/officeDocument/2006/relationships/hyperlink" Target="https://www.cdc.gov/coronavirus/2019-ncov/need-extra-precautions/people-with-medical-conditions.html" TargetMode="External"/><Relationship Id="rId10" Type="http://schemas.openxmlformats.org/officeDocument/2006/relationships/hyperlink" Target="https://www.cdc.gov/coronavirus/2019-ncov/vaccines/recommendations/disabilities.html" TargetMode="External"/><Relationship Id="rId98" Type="http://schemas.openxmlformats.org/officeDocument/2006/relationships/hyperlink" Target="https://www.cdc.gov/coronavirus/2019-ncov/need-extra-precautions/people-with-medical-conditions.html" TargetMode="External"/><Relationship Id="rId13" Type="http://schemas.openxmlformats.org/officeDocument/2006/relationships/hyperlink" Target="https://www.cdc.gov/coronavirus/2019-ncov/vaccines/recommendations/disabilities.html" TargetMode="External"/><Relationship Id="rId12" Type="http://schemas.openxmlformats.org/officeDocument/2006/relationships/hyperlink" Target="https://www.cdc.gov/coronavirus/2019-ncov/vaccines/recommendations/disabilities.html" TargetMode="External"/><Relationship Id="rId91" Type="http://schemas.openxmlformats.org/officeDocument/2006/relationships/hyperlink" Target="https://www.cdc.gov/coronavirus/2019-ncov/need-extra-precautions/people-with-medical-conditions.html" TargetMode="External"/><Relationship Id="rId90" Type="http://schemas.openxmlformats.org/officeDocument/2006/relationships/hyperlink" Target="https://www.cdc.gov/coronavirus/2019-ncov/need-extra-precautions/people-with-medical-conditions.html" TargetMode="External"/><Relationship Id="rId93" Type="http://schemas.openxmlformats.org/officeDocument/2006/relationships/hyperlink" Target="https://www.cdc.gov/coronavirus/2019-ncov/need-extra-precautions/people-with-medical-conditions.html" TargetMode="External"/><Relationship Id="rId92" Type="http://schemas.openxmlformats.org/officeDocument/2006/relationships/hyperlink" Target="https://www.cdc.gov/coronavirus/2019-ncov/need-extra-precautions/people-with-medical-conditions.html" TargetMode="External"/><Relationship Id="rId118" Type="http://schemas.openxmlformats.org/officeDocument/2006/relationships/hyperlink" Target="https://www.cdc.gov/coronavirus/2019-ncov/easy-to-read/index.html" TargetMode="External"/><Relationship Id="rId117" Type="http://schemas.openxmlformats.org/officeDocument/2006/relationships/hyperlink" Target="https://www.cdc.gov/coronavirus/2019-ncov/easy-to-read/index.html" TargetMode="External"/><Relationship Id="rId116" Type="http://schemas.openxmlformats.org/officeDocument/2006/relationships/hyperlink" Target="https://www.cdc.gov/coronavirus/2019-ncov/easy-to-read/index.html" TargetMode="External"/><Relationship Id="rId115" Type="http://schemas.openxmlformats.org/officeDocument/2006/relationships/hyperlink" Target="https://www.cdc.gov/coronavirus/2019-ncov/easy-to-read/index.html" TargetMode="External"/><Relationship Id="rId119" Type="http://schemas.openxmlformats.org/officeDocument/2006/relationships/hyperlink" Target="https://www.cdc.gov/coronavirus/2019-ncov/easy-to-read/index.html" TargetMode="External"/><Relationship Id="rId15" Type="http://schemas.openxmlformats.org/officeDocument/2006/relationships/hyperlink" Target="https://www.cdc.gov/coronavirus/2019-ncov/vaccines/recommendations/disabilities.html" TargetMode="External"/><Relationship Id="rId110" Type="http://schemas.openxmlformats.org/officeDocument/2006/relationships/hyperlink" Target="https://www.youtube.com/playlist?app=desktop&amp;list=PLvrp9iOILTQatwnqm61jqFrsfUB4RKh6J" TargetMode="External"/><Relationship Id="rId14" Type="http://schemas.openxmlformats.org/officeDocument/2006/relationships/hyperlink" Target="https://www.cdc.gov/coronavirus/2019-ncov/vaccines/recommendations/disabilities.html" TargetMode="External"/><Relationship Id="rId17" Type="http://schemas.openxmlformats.org/officeDocument/2006/relationships/hyperlink" Target="https://www.cdc.gov/coronavirus/2019-ncov/vaccines/recommendations/disabilities.html" TargetMode="External"/><Relationship Id="rId16" Type="http://schemas.openxmlformats.org/officeDocument/2006/relationships/hyperlink" Target="https://www.cdc.gov/coronavirus/2019-ncov/vaccines/recommendations/disabilities.html" TargetMode="External"/><Relationship Id="rId19" Type="http://schemas.openxmlformats.org/officeDocument/2006/relationships/hyperlink" Target="https://www.cdc.gov/coronavirus/2019-ncov/vaccines/recommendations/disabilities.html" TargetMode="External"/><Relationship Id="rId114" Type="http://schemas.openxmlformats.org/officeDocument/2006/relationships/hyperlink" Target="https://www.youtube.com/playlist?app=desktop&amp;list=PLvrp9iOILTQatwnqm61jqFrsfUB4RKh6J" TargetMode="External"/><Relationship Id="rId18" Type="http://schemas.openxmlformats.org/officeDocument/2006/relationships/hyperlink" Target="https://www.cdc.gov/coronavirus/2019-ncov/vaccines/recommendations/disabilities.html" TargetMode="External"/><Relationship Id="rId113" Type="http://schemas.openxmlformats.org/officeDocument/2006/relationships/hyperlink" Target="https://www.youtube.com/playlist?app=desktop&amp;list=PLvrp9iOILTQatwnqm61jqFrsfUB4RKh6J" TargetMode="External"/><Relationship Id="rId112" Type="http://schemas.openxmlformats.org/officeDocument/2006/relationships/hyperlink" Target="https://www.youtube.com/playlist?app=desktop&amp;list=PLvrp9iOILTQatwnqm61jqFrsfUB4RKh6J" TargetMode="External"/><Relationship Id="rId111" Type="http://schemas.openxmlformats.org/officeDocument/2006/relationships/hyperlink" Target="https://www.youtube.com/playlist?app=desktop&amp;list=PLvrp9iOILTQatwnqm61jqFrsfUB4RKh6J" TargetMode="External"/><Relationship Id="rId84" Type="http://schemas.openxmlformats.org/officeDocument/2006/relationships/hyperlink" Target="https://www.cdc.gov/vaccines/covid-19/clinical-considerations/older-adults-and-disability/access.html" TargetMode="External"/><Relationship Id="rId83" Type="http://schemas.openxmlformats.org/officeDocument/2006/relationships/hyperlink" Target="https://www.cdc.gov/vaccines/covid-19/clinical-considerations/older-adults-and-disability/access.html" TargetMode="External"/><Relationship Id="rId86" Type="http://schemas.openxmlformats.org/officeDocument/2006/relationships/hyperlink" Target="https://www.cdc.gov/vaccines/covid-19/clinical-considerations/older-adults-and-disability/access.html" TargetMode="External"/><Relationship Id="rId85" Type="http://schemas.openxmlformats.org/officeDocument/2006/relationships/hyperlink" Target="https://www.cdc.gov/vaccines/covid-19/clinical-considerations/older-adults-and-disability/access.html" TargetMode="External"/><Relationship Id="rId88" Type="http://schemas.openxmlformats.org/officeDocument/2006/relationships/hyperlink" Target="https://www.cdc.gov/vaccines/covid-19/clinical-considerations/older-adults-and-disability/access.html" TargetMode="External"/><Relationship Id="rId87" Type="http://schemas.openxmlformats.org/officeDocument/2006/relationships/hyperlink" Target="https://www.cdc.gov/vaccines/covid-19/clinical-considerations/older-adults-and-disability/access.html" TargetMode="External"/><Relationship Id="rId89" Type="http://schemas.openxmlformats.org/officeDocument/2006/relationships/hyperlink" Target="https://www.cdc.gov/coronavirus/2019-ncov/need-extra-precautions/people-with-medical-conditions.html" TargetMode="External"/><Relationship Id="rId80" Type="http://schemas.openxmlformats.org/officeDocument/2006/relationships/hyperlink" Target="https://www.cdc.gov/vaccines/covid-19/clinical-considerations/older-adults-and-disability/access.html" TargetMode="External"/><Relationship Id="rId82" Type="http://schemas.openxmlformats.org/officeDocument/2006/relationships/hyperlink" Target="https://www.cdc.gov/vaccines/covid-19/clinical-considerations/older-adults-and-disability/access.html" TargetMode="External"/><Relationship Id="rId81" Type="http://schemas.openxmlformats.org/officeDocument/2006/relationships/hyperlink" Target="https://www.cdc.gov/vaccines/covid-19/clinical-considerations/older-adults-and-disability/access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dc.gov/coronavirus/2019-ncov/vaccines/recommendations/disabilities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whitehouse.gov/wp-content/uploads/2021/01/National-Strategy-for-the-COVID-19-Response-and-Pandemic-Preparedness.pdf" TargetMode="External"/><Relationship Id="rId7" Type="http://schemas.openxmlformats.org/officeDocument/2006/relationships/hyperlink" Target="mailto:eocevent417@cdc.gov" TargetMode="External"/><Relationship Id="rId8" Type="http://schemas.openxmlformats.org/officeDocument/2006/relationships/hyperlink" Target="https://www.cdc.gov/coronavirus/2019-ncov/vaccines/recommendations/disabilities.html" TargetMode="External"/><Relationship Id="rId73" Type="http://schemas.openxmlformats.org/officeDocument/2006/relationships/hyperlink" Target="https://www.cdc.gov/vaccines/covid-19/clinical-considerations/older-adults-and-disability/access.html" TargetMode="External"/><Relationship Id="rId72" Type="http://schemas.openxmlformats.org/officeDocument/2006/relationships/hyperlink" Target="https://www.cdc.gov/coronavirus/2019-ncov/need-extra-precautions/direct-service-providers.html?CDC_AA_refVal=https%3A%2F%2Fwww.cdc.gov%2Fcoronavirus%2F2019-ncov%2Fhcp%2Fdirect-service-providers.html" TargetMode="External"/><Relationship Id="rId75" Type="http://schemas.openxmlformats.org/officeDocument/2006/relationships/hyperlink" Target="https://www.cdc.gov/vaccines/covid-19/clinical-considerations/older-adults-and-disability/access.html" TargetMode="External"/><Relationship Id="rId74" Type="http://schemas.openxmlformats.org/officeDocument/2006/relationships/hyperlink" Target="https://www.cdc.gov/vaccines/covid-19/clinical-considerations/older-adults-and-disability/access.html" TargetMode="External"/><Relationship Id="rId77" Type="http://schemas.openxmlformats.org/officeDocument/2006/relationships/hyperlink" Target="https://www.cdc.gov/vaccines/covid-19/clinical-considerations/older-adults-and-disability/access.html" TargetMode="External"/><Relationship Id="rId76" Type="http://schemas.openxmlformats.org/officeDocument/2006/relationships/hyperlink" Target="https://www.cdc.gov/vaccines/covid-19/clinical-considerations/older-adults-and-disability/access.html" TargetMode="External"/><Relationship Id="rId79" Type="http://schemas.openxmlformats.org/officeDocument/2006/relationships/hyperlink" Target="https://www.cdc.gov/vaccines/covid-19/clinical-considerations/older-adults-and-disability/access.html" TargetMode="External"/><Relationship Id="rId78" Type="http://schemas.openxmlformats.org/officeDocument/2006/relationships/hyperlink" Target="https://www.cdc.gov/vaccines/covid-19/clinical-considerations/older-adults-and-disability/access.html" TargetMode="External"/><Relationship Id="rId71" Type="http://schemas.openxmlformats.org/officeDocument/2006/relationships/hyperlink" Target="https://www.cdc.gov/coronavirus/2019-ncov/need-extra-precautions/direct-service-providers.html?CDC_AA_refVal=https%3A%2F%2Fwww.cdc.gov%2Fcoronavirus%2F2019-ncov%2Fhcp%2Fdirect-service-providers.html" TargetMode="External"/><Relationship Id="rId70" Type="http://schemas.openxmlformats.org/officeDocument/2006/relationships/hyperlink" Target="https://www.cdc.gov/coronavirus/2019-ncov/need-extra-precautions/direct-service-providers.html?CDC_AA_refVal=https%3A%2F%2Fwww.cdc.gov%2Fcoronavirus%2F2019-ncov%2Fhcp%2Fdirect-service-providers.html" TargetMode="External"/><Relationship Id="rId62" Type="http://schemas.openxmlformats.org/officeDocument/2006/relationships/hyperlink" Target="https://www.cdc.gov/coronavirus/2019-ncov/need-extra-precautions/direct-service-providers.html?CDC_AA_refVal=https%3A%2F%2Fwww.cdc.gov%2Fcoronavirus%2F2019-ncov%2Fhcp%2Fdirect-service-providers.html" TargetMode="External"/><Relationship Id="rId61" Type="http://schemas.openxmlformats.org/officeDocument/2006/relationships/hyperlink" Target="https://www.cdc.gov/coronavirus/2019-ncov/need-extra-precautions/direct-service-providers.html?CDC_AA_refVal=https%3A%2F%2Fwww.cdc.gov%2Fcoronavirus%2F2019-ncov%2Fhcp%2Fdirect-service-providers.html" TargetMode="External"/><Relationship Id="rId64" Type="http://schemas.openxmlformats.org/officeDocument/2006/relationships/hyperlink" Target="https://www.cdc.gov/coronavirus/2019-ncov/need-extra-precautions/direct-service-providers.html?CDC_AA_refVal=https%3A%2F%2Fwww.cdc.gov%2Fcoronavirus%2F2019-ncov%2Fhcp%2Fdirect-service-providers.html" TargetMode="External"/><Relationship Id="rId63" Type="http://schemas.openxmlformats.org/officeDocument/2006/relationships/hyperlink" Target="https://www.cdc.gov/coronavirus/2019-ncov/need-extra-precautions/direct-service-providers.html?CDC_AA_refVal=https%3A%2F%2Fwww.cdc.gov%2Fcoronavirus%2F2019-ncov%2Fhcp%2Fdirect-service-providers.html" TargetMode="External"/><Relationship Id="rId66" Type="http://schemas.openxmlformats.org/officeDocument/2006/relationships/hyperlink" Target="https://www.cdc.gov/coronavirus/2019-ncov/need-extra-precautions/direct-service-providers.html?CDC_AA_refVal=https%3A%2F%2Fwww.cdc.gov%2Fcoronavirus%2F2019-ncov%2Fhcp%2Fdirect-service-providers.html" TargetMode="External"/><Relationship Id="rId65" Type="http://schemas.openxmlformats.org/officeDocument/2006/relationships/hyperlink" Target="https://www.cdc.gov/coronavirus/2019-ncov/need-extra-precautions/direct-service-providers.html?CDC_AA_refVal=https%3A%2F%2Fwww.cdc.gov%2Fcoronavirus%2F2019-ncov%2Fhcp%2Fdirect-service-providers.html" TargetMode="External"/><Relationship Id="rId68" Type="http://schemas.openxmlformats.org/officeDocument/2006/relationships/hyperlink" Target="https://www.cdc.gov/coronavirus/2019-ncov/need-extra-precautions/direct-service-providers.html?CDC_AA_refVal=https%3A%2F%2Fwww.cdc.gov%2Fcoronavirus%2F2019-ncov%2Fhcp%2Fdirect-service-providers.html" TargetMode="External"/><Relationship Id="rId67" Type="http://schemas.openxmlformats.org/officeDocument/2006/relationships/hyperlink" Target="https://www.cdc.gov/coronavirus/2019-ncov/need-extra-precautions/direct-service-providers.html?CDC_AA_refVal=https%3A%2F%2Fwww.cdc.gov%2Fcoronavirus%2F2019-ncov%2Fhcp%2Fdirect-service-providers.html" TargetMode="External"/><Relationship Id="rId60" Type="http://schemas.openxmlformats.org/officeDocument/2006/relationships/hyperlink" Target="https://www.cdc.gov/coronavirus/2019-ncov/need-extra-precautions/direct-service-providers.html?CDC_AA_refVal=https%3A%2F%2Fwww.cdc.gov%2Fcoronavirus%2F2019-ncov%2Fhcp%2Fdirect-service-providers.html" TargetMode="External"/><Relationship Id="rId69" Type="http://schemas.openxmlformats.org/officeDocument/2006/relationships/hyperlink" Target="https://www.cdc.gov/coronavirus/2019-ncov/need-extra-precautions/direct-service-providers.html?CDC_AA_refVal=https%3A%2F%2Fwww.cdc.gov%2Fcoronavirus%2F2019-ncov%2Fhcp%2Fdirect-service-providers.html" TargetMode="External"/><Relationship Id="rId51" Type="http://schemas.openxmlformats.org/officeDocument/2006/relationships/hyperlink" Target="https://www.cdc.gov/vaccines/covid-19/clinical-considerations/homebound-persons.html" TargetMode="External"/><Relationship Id="rId50" Type="http://schemas.openxmlformats.org/officeDocument/2006/relationships/hyperlink" Target="https://www.cdc.gov/vaccines/covid-19/clinical-considerations/homebound-persons.html" TargetMode="External"/><Relationship Id="rId53" Type="http://schemas.openxmlformats.org/officeDocument/2006/relationships/hyperlink" Target="https://www.cdc.gov/vaccines/covid-19/clinical-considerations/homebound-persons.html" TargetMode="External"/><Relationship Id="rId52" Type="http://schemas.openxmlformats.org/officeDocument/2006/relationships/hyperlink" Target="https://www.cdc.gov/vaccines/covid-19/clinical-considerations/homebound-persons.html" TargetMode="External"/><Relationship Id="rId55" Type="http://schemas.openxmlformats.org/officeDocument/2006/relationships/hyperlink" Target="https://www.cdc.gov/coronavirus/2019-ncov/need-extra-precautions/direct-service-providers.html?CDC_AA_refVal=https%3A%2F%2Fwww.cdc.gov%2Fcoronavirus%2F2019-ncov%2Fhcp%2Fdirect-service-providers.html" TargetMode="External"/><Relationship Id="rId54" Type="http://schemas.openxmlformats.org/officeDocument/2006/relationships/hyperlink" Target="https://www.cdc.gov/vaccines/covid-19/clinical-considerations/homebound-persons.html" TargetMode="External"/><Relationship Id="rId57" Type="http://schemas.openxmlformats.org/officeDocument/2006/relationships/hyperlink" Target="https://www.cdc.gov/coronavirus/2019-ncov/need-extra-precautions/direct-service-providers.html?CDC_AA_refVal=https%3A%2F%2Fwww.cdc.gov%2Fcoronavirus%2F2019-ncov%2Fhcp%2Fdirect-service-providers.html" TargetMode="External"/><Relationship Id="rId56" Type="http://schemas.openxmlformats.org/officeDocument/2006/relationships/hyperlink" Target="https://www.cdc.gov/coronavirus/2019-ncov/need-extra-precautions/direct-service-providers.html?CDC_AA_refVal=https%3A%2F%2Fwww.cdc.gov%2Fcoronavirus%2F2019-ncov%2Fhcp%2Fdirect-service-providers.html" TargetMode="External"/><Relationship Id="rId59" Type="http://schemas.openxmlformats.org/officeDocument/2006/relationships/hyperlink" Target="https://www.cdc.gov/coronavirus/2019-ncov/need-extra-precautions/direct-service-providers.html?CDC_AA_refVal=https%3A%2F%2Fwww.cdc.gov%2Fcoronavirus%2F2019-ncov%2Fhcp%2Fdirect-service-providers.html" TargetMode="External"/><Relationship Id="rId58" Type="http://schemas.openxmlformats.org/officeDocument/2006/relationships/hyperlink" Target="https://www.cdc.gov/coronavirus/2019-ncov/need-extra-precautions/direct-service-providers.html?CDC_AA_refVal=https%3A%2F%2Fwww.cdc.gov%2Fcoronavirus%2F2019-ncov%2Fhcp%2Fdirect-service-provid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