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Disability Information and Access Line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இயலாமை தகவல் மற்றும் தொடர்பு முறை</w:t>
          </w:r>
        </w:sdtContent>
      </w:sdt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Help with COVID-19 vaccinations for people with disabilities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மாற்றுத் திறனாளிகளுக்கான கோவிட்-19 தடுப்பூசிகளுக்கு உதவுங்கள்]</w:t>
          </w:r>
        </w:sdtContent>
      </w:sdt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Disability Information and Access Line (DIAL) is now available to help people with disabilities, including Deaf persons, get vaccinated.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DIAL’s trained staff is standing by to: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காது கேளாதோர் உள்ளிட்ட மாற்றுத் திறனாளிகள் தடுப்பூசி போடுவதற்கு உதவுவதற்காக மாற்றுத் திறனாளிகள் தகவல் மற்றும் தொடர்பு முறை (DIAL) இப்போது கிடைக்கிறது. </w:t>
          </w:r>
        </w:sdtContent>
      </w:sdt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3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DIAL பயிற்சி பெற்ற ஊழியர்கள் பின்வருவதன் மூலம் நிற்கிறார்கள்:</w:t>
          </w:r>
        </w:sdtContent>
      </w:sdt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Help find local vaccination locations.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4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உள்ளூர் தடுப்பூசி இடங்களைக் கண்டுபிடிக்க உதவுங்கள்</w:t>
          </w:r>
        </w:sdtContent>
      </w:sdt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Assist with making vaccination appointments.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5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தடுப்பூசி சந்திப்புகளை செய்வதற்கு உதவுங்கள்</w:t>
          </w:r>
        </w:sdtContent>
      </w:sdt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Connect callers to local services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6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அழைப்பாளர்களுக்கு உள்ளூர் சேவைகளைதொடர்பு கொள்ள உதவுங்கள்</w:t>
          </w:r>
        </w:sdtContent>
      </w:sdt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—such as accessible Transportation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7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அணுகக்கூடிய போக்குவரத்து போன்றவை</w:t>
          </w:r>
        </w:sdtContent>
      </w:sdt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—to overcome barriers to vaccination.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8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தடுப்பூசி போடுவதற்கான தடைகளை கடக்க உதவுங்கள்</w:t>
          </w:r>
        </w:sdtContent>
      </w:sdt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hotline also can provide information and resources to answer questions and address concerns about the vaccines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9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ஹாட்லைன் கேள்விகளுக்கு பதிலளிக்கவும், தடுப்பூசிகள் பற்றிய கவலைகளை நிவர்த்தி செய்யவும் தகவல் மற்றும் ஆதாரங்களை வழங்க முடியும் </w:t>
          </w:r>
        </w:sdtContent>
      </w:sdt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can connect callers to information and services that promote independent living and address fundamental needs, such as food,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housing, and transportation.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0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சுயாதீன வாழ்க்கையை ஊக்குவிக்கும் தகவல் மற்றும் சேவைகளைப் பெறுவதற்கும், உணவு, வீட்டுவசதி மற்றும் போக்குவரத்து போன்ற அடிப்படைத் தேவைகளைநிவர்த்தி செய்யவும் அழைப்பாளர்களுக்கு உதவ முடியும்.</w:t>
          </w:r>
        </w:sdtContent>
      </w:sdt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DIAL is operated as a collaboration between a consortium of organizations serving people with disabilities and the National Association of Area Agencies on Aging (n4a).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1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ஊனமுற்றமக்களுக்கு சேவை செய்யும் நிறுவனங்களின் கூட்டமைப்பு க்கும் வயதான பகுதி முகமைகளின் தேசிய சங்கம் (N4A) இடையே ஒரு ஒத்துழைப்புடன் DIAL </w:t>
          </w:r>
        </w:sdtContent>
      </w:sdt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consortium includes: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2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இயக்கப்படுகிறது.கூட்டமைப்பு அடங்கும்:</w:t>
          </w:r>
        </w:sdtContent>
      </w:sdt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Association of Programs for Rural Independent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Living (APRIL),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3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• கிராமப்புற சுயாதீன வாழ்க்கைக்கான திட்டங்கள் சங்கம் (APRIL)</w:t>
          </w:r>
        </w:sdtContent>
      </w:sdt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Association of University Centers on Disabilities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(AUCD),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4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 • ஊனமுற்றோர் பல்கலைக்கழக மையங்களின் சங்கம் (AUCD)</w:t>
          </w:r>
        </w:sdtContent>
      </w:sdt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Independent Living Research Utilization (ILRU),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5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 • சுயாதீன வாழ்க்கை ஆராய்ச்சி பயன்பாடு (ILRU)</w:t>
          </w:r>
        </w:sdtContent>
      </w:sdt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National Association of Councils on Developmental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Disabilities (NACDD),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6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• வளர்ச்சி குறைபாடுகள் மீதான கவுன்சில்களின் தேசிய சங்கம் (NACDD)</w:t>
          </w:r>
        </w:sdtContent>
      </w:sdt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National Council on Independent Living (NCIL),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7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 • சுயாதீன வாழ்க்கை க்கான தேசிய கவுன்சில் (NCIL)</w:t>
          </w:r>
        </w:sdtContent>
      </w:sdt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National Disabilities Rights Network (NDRN), and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8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 • தேசிய குறைபாடுகள் உரிமைகள் நெட்வொர்க் (NDRN) மற்றும் </w:t>
          </w:r>
        </w:sdtContent>
      </w:sdt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The Partnership for Inclusive Disaster Strategies.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9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• உள்ளடக்கிய பேரழிவு உத்திகளுக்கான கூட்டாண்மை.</w:t>
          </w:r>
        </w:sdtContent>
      </w:sdt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collaboration benefits from the disability networks’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extensive knowledge and expertise in meeting the needs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 people with disabilities across the United States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20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இந்த ஒத்துழைப்பு அமெரிக்கா முழுவதும் ஊனமுற்ற மக்களின் தேவைகளை பூர்த்தி செய்ய இயலாமை நெட்வொர்க்குகளின் விரிவான அறிவு மற்றும் நிபுணத்துவத்திலிருந்து பயனடைகிறது</w:t>
          </w:r>
        </w:sdtContent>
      </w:sdt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n4a’s decades of experience operating the Eldercare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Locator, the only federally funded national information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referral resource that supports consumers across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spectrum of issues affecting older Americans.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21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மற்றும் N4A 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u w:val="single"/>
              <w:rtl w:val="0"/>
            </w:rPr>
            <w:t xml:space="preserve">(மூத்தயர் பராமரிப்பு கண்டுபிடிப்பன்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) இயக்கும் பல தசாப்தகால அனுபவத்தைக் கொண்டுள்ளது.பழைய அமெரிக்கர்களை பாதிக்கும் பிரச்சினைகளின் ஸ்பெக்ட்ரம் முழுவதும் நுகர்வோரை ஆதரிக்கும் ஒரே கூட்டாட்சி நிதியளிக்கப்பட்ட தேசிய தகவல் மற்றும் பரிந்துரை ஆதாரம் இது வாகும்.</w:t>
          </w:r>
        </w:sdtContent>
      </w:sdt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Nunito Sans" w:cs="Nunito Sans" w:eastAsia="Nunito Sans" w:hAnsi="Nunito Sans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underlined place is the linked elder carelocater.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ha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8403 Colesville Road, Suite 1100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-71020</wp:posOffset>
          </wp:positionH>
          <wp:positionV relativeFrom="paragraph">
            <wp:posOffset>22194</wp:posOffset>
          </wp:positionV>
          <wp:extent cx="4417437" cy="657004"/>
          <wp:effectExtent b="0" l="0" r="0" t="0"/>
          <wp:wrapNone/>
          <wp:docPr descr="Text&#10;&#10;Description automatically generated" id="2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10186" l="0" r="0" t="0"/>
                  <a:stretch>
                    <a:fillRect/>
                  </a:stretch>
                </pic:blipFill>
                <pic:spPr>
                  <a:xfrm>
                    <a:off x="0" y="0"/>
                    <a:ext cx="4417437" cy="6570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Silver Spring, MD 20910</w:t>
    </w:r>
  </w:p>
  <w:p w:rsidR="00000000" w:rsidDel="00000000" w:rsidP="00000000" w:rsidRDefault="00000000" w:rsidRPr="00000000" w14:paraId="00000047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Phone: 301.270.1855</w:t>
    </w:r>
  </w:p>
  <w:p w:rsidR="00000000" w:rsidDel="00000000" w:rsidP="00000000" w:rsidRDefault="00000000" w:rsidRPr="00000000" w14:paraId="00000049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Fax: 301.270.1882</w:t>
    </w:r>
  </w:p>
  <w:p w:rsidR="00000000" w:rsidDel="00000000" w:rsidP="00000000" w:rsidRDefault="00000000" w:rsidRPr="00000000" w14:paraId="0000004A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info@saalt.org</w:t>
    </w:r>
  </w:p>
  <w:p w:rsidR="00000000" w:rsidDel="00000000" w:rsidP="00000000" w:rsidRDefault="00000000" w:rsidRPr="00000000" w14:paraId="0000004B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www.saalt.org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052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52BE"/>
  </w:style>
  <w:style w:type="paragraph" w:styleId="Footer">
    <w:name w:val="footer"/>
    <w:basedOn w:val="Normal"/>
    <w:link w:val="FooterChar"/>
    <w:uiPriority w:val="99"/>
    <w:unhideWhenUsed w:val="1"/>
    <w:rsid w:val="005052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52BE"/>
  </w:style>
  <w:style w:type="paragraph" w:styleId="xxmsonormal" w:customStyle="1">
    <w:name w:val="x_xmsonormal"/>
    <w:basedOn w:val="Normal"/>
    <w:rsid w:val="005052B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50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2B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052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FF0EB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ae8ZQ5S0ptR9OGvLPMY6OBukw==">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2020-11-03T23:30:00Z</dcterms:created>
  <dc:creator>Microsoft Office User</dc:creator>
</cp:coreProperties>
</file>